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ption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ПУБЛИЧНАЯ ОФЕРТА</w:t>
      </w:r>
    </w:p>
    <w:p>
      <w:pPr>
        <w:pStyle w:val="Caption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о заключении ДОГОВОРА</w:t>
      </w:r>
    </w:p>
    <w:p>
      <w:pPr>
        <w:pStyle w:val="Normal"/>
        <w:widowControl w:val="false"/>
        <w:spacing w:lineRule="auto" w:line="276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об оказании услуг связи (</w:t>
      </w:r>
      <w:r>
        <w:rPr>
          <w:b/>
          <w:bCs/>
          <w:sz w:val="22"/>
          <w:szCs w:val="22"/>
          <w:lang w:val="en-US"/>
        </w:rPr>
        <w:t>GPON</w:t>
      </w:r>
      <w:r>
        <w:rPr>
          <w:b/>
          <w:bCs/>
          <w:sz w:val="22"/>
          <w:szCs w:val="22"/>
        </w:rPr>
        <w:t>)</w:t>
      </w:r>
    </w:p>
    <w:p>
      <w:pPr>
        <w:pStyle w:val="Normal"/>
        <w:widowControl w:val="false"/>
        <w:spacing w:lineRule="auto" w:line="276"/>
        <w:ind w:left="567" w:hang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Style16"/>
        <w:spacing w:lineRule="auto" w:line="276"/>
        <w:ind w:firstLine="567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«Северные телерадиокоммуникации» (сокращенное наименование ОАО «СТРК»), именуемое Оператор, действующее на основании лицензии № 151128 от 28.12.2016 на оказание услуг связи по передаче данных для целей передачи голосовой информации, лицензии № 151131 от 28.12.2016 на оказание телематических услуг связи, выданных Федеральной службой по надзору в сфере связи, информационных технологий и массовых коммуникаций, предлагает Пользователю – физическому лицу, заключить с Оператором договор об оказании телематических услуг связи и (или) услуг связи по передаче данных для целей передачи голосовой информации путем акцепта указанным лицом настоящей публичной оферты.</w:t>
      </w:r>
    </w:p>
    <w:p>
      <w:pPr>
        <w:pStyle w:val="Style16"/>
        <w:spacing w:lineRule="auto" w:line="276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Термины и определения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Акцепт</w:t>
      </w:r>
      <w:r>
        <w:rPr>
          <w:rFonts w:ascii="Times New Roman" w:hAnsi="Times New Roman"/>
        </w:rPr>
        <w:t xml:space="preserve"> – полное и безоговорочное принятие всех условий настоящей Оферты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осуществленное в соответствии с порядком, установленным Офертой.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  <w:r>
        <w:rPr>
          <w:sz w:val="22"/>
          <w:szCs w:val="22"/>
        </w:rPr>
        <w:t xml:space="preserve">– срочный договор об оказании разовых телематических услуг связи и (или) услуг связи по передаче данных для целей передачи голосовой информации, заключенный между Оператором и Пользователем путем акцепта Пользователем настоящей Публичной оферты, включая все Приложения к Оферте. Неотъемлемыми частями настоящего Договора являются Тарифы (Тарифные планы), размещенные на Сайте. Любая ссылка в настоящей Публичной оферте на Договор (Статью Договора) и/или его условия, означает соответствующую ссылку на настоящую Публичную оферту (ее Статью) и/или ее условия. 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Пользователь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 xml:space="preserve">физическое лицо, совершившее акцепт настоящей Оферты в порядке, предусмотренном разделом 3 Оферты, в результате которого Договор считается заключенным между Пользователем и Оператором на условиях, изложенных в настоящей Публичной оферте. 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Правила</w:t>
      </w:r>
      <w:r>
        <w:rPr>
          <w:sz w:val="22"/>
          <w:szCs w:val="22"/>
        </w:rPr>
        <w:t xml:space="preserve"> – Правила оказания телематических услуг связи, утвержденные Постановлением Правительства РФ от 10.09.2007 № 575 (в действующей редакции), Правила оказания услуг связи по передаче данных, утвержденные Постановлением Правительства РФ от 23.01.2006 № 32 (в действующей редакции).</w:t>
      </w:r>
    </w:p>
    <w:p>
      <w:pPr>
        <w:pStyle w:val="2"/>
        <w:numPr>
          <w:ilvl w:val="0"/>
          <w:numId w:val="0"/>
        </w:numPr>
        <w:spacing w:lineRule="auto" w:line="276" w:before="0" w:after="0"/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>Пользовательское оборудование</w:t>
      </w:r>
      <w:r>
        <w:rPr>
          <w:sz w:val="22"/>
          <w:szCs w:val="22"/>
        </w:rPr>
        <w:t xml:space="preserve"> – оконечное оборудование Пользователя, подключаемое к точке доступа в целях пользования Услугами связи. 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Публичная оферта (Оферта)</w:t>
      </w:r>
      <w:r>
        <w:rPr>
          <w:rFonts w:ascii="Times New Roman" w:hAnsi="Times New Roman"/>
        </w:rPr>
        <w:t xml:space="preserve"> – настоящая публичная оферта о заключении Договора об оказании телематических услуг связи и (или) услуг связи по передаче данных для целей передачи голосовой информации.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Сайт Оператора</w:t>
      </w:r>
      <w:r>
        <w:rPr>
          <w:rFonts w:ascii="Times New Roman" w:hAnsi="Times New Roman"/>
        </w:rPr>
        <w:t xml:space="preserve"> – официальный сайт ОАО «СТРК», размещенный в сети Интернет по адресу </w:t>
      </w:r>
      <w:hyperlink r:id="rId2">
        <w:r>
          <w:rPr>
            <w:rFonts w:ascii="Times New Roman" w:hAnsi="Times New Roman"/>
            <w:color w:val="auto"/>
          </w:rPr>
          <w:t>www.strk24.ru</w:t>
        </w:r>
      </w:hyperlink>
      <w:r>
        <w:rPr>
          <w:rFonts w:ascii="Times New Roman" w:hAnsi="Times New Roman"/>
        </w:rPr>
        <w:t xml:space="preserve"> 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Стороны </w:t>
      </w:r>
      <w:r>
        <w:rPr>
          <w:sz w:val="22"/>
          <w:szCs w:val="22"/>
        </w:rPr>
        <w:t xml:space="preserve">– Оператор и Пользователь совместно, а раздельно -  </w:t>
      </w:r>
      <w:r>
        <w:rPr>
          <w:b/>
          <w:sz w:val="22"/>
          <w:szCs w:val="22"/>
        </w:rPr>
        <w:t>Сторона</w:t>
      </w:r>
      <w:r>
        <w:rPr>
          <w:sz w:val="22"/>
          <w:szCs w:val="22"/>
        </w:rPr>
        <w:t xml:space="preserve">. 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Тариф</w:t>
      </w:r>
      <w:r>
        <w:rPr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установленная Оператором цена Услуги за единицу тарификации.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Тарифный план</w:t>
      </w:r>
      <w:r>
        <w:rPr>
          <w:sz w:val="22"/>
          <w:szCs w:val="22"/>
        </w:rPr>
        <w:t xml:space="preserve"> – совокупность ценовых условий, на которых Оператор предлагает пользоваться Услугами связи.</w:t>
      </w:r>
    </w:p>
    <w:p>
      <w:pPr>
        <w:pStyle w:val="2"/>
        <w:numPr>
          <w:ilvl w:val="0"/>
          <w:numId w:val="0"/>
        </w:numPr>
        <w:spacing w:lineRule="auto" w:line="276" w:before="0" w:after="0"/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Техническая возможность оказания Услуги </w:t>
      </w:r>
      <w:r>
        <w:rPr>
          <w:sz w:val="22"/>
          <w:szCs w:val="22"/>
        </w:rPr>
        <w:t>– наличие свободного порта точки доступа, обеспечивающего возможность подключения пользовательского оборудования.</w:t>
      </w:r>
    </w:p>
    <w:p>
      <w:pPr>
        <w:pStyle w:val="2"/>
        <w:numPr>
          <w:ilvl w:val="0"/>
          <w:numId w:val="0"/>
        </w:numPr>
        <w:spacing w:lineRule="auto" w:line="276" w:before="0" w:after="0"/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Точка доступа </w:t>
      </w:r>
      <w:r>
        <w:rPr>
          <w:sz w:val="22"/>
          <w:szCs w:val="22"/>
        </w:rPr>
        <w:t>– средство связи Оператора, которое предназначено для предоставления неограниченному кругу лиц возможности пользования Услугами связи с использованием пользовательского оборудования.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Услуги</w:t>
      </w:r>
      <w:r>
        <w:rPr>
          <w:sz w:val="22"/>
          <w:szCs w:val="22"/>
        </w:rPr>
        <w:t xml:space="preserve"> – телематические услуги связи и (или) услуги связи по передаче данных для целей передачи голосовой информации, которые Оператор оказывает Пользователю с использованием точек доступа в соответствии с условиями настоящей Оферты.</w:t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Оператор обязуется оказать Пользователю Услуги, а Пользователь обязуется оплатить оказываемые Оператором Услуги на условиях и в порядке, установленных Договором. Порядок заключения и оказания Услуг связи содержится в разделе 3 настоящего Договора.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Оператор оказывает Пользователю Услуги только при наличии технической возможности, а именно при наличии свободного порта точки доступа, необходимого для подключения пользовательского оборудования. Перечень точек доступа приведен в Приложении № 1 к настоящей Оферте.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56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Заключение Договора и условия оказания Услуг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Совершение Пользователем действий по выполнению указанных в настоящей оферте условий договора в соответствии с п. 3 ст. 438 ГК РФ является ее полным и безоговорочным акцептом. Пользователь вправе акцептовать Оферту в любой момент в течение срока действия Оферты. Пользователь считается акцептовавшим и принявшим все условия настоящей Публичной оферты, в случае совершения Пользователем последовательных действий, определённых пунктами 3.3., 3.4., 3.7. Оферты, после чего, Пользователь приобретает все права и обязанности Пользователя Услугами связи, предусмотренные Договором. После заключения Договора Пользователь имеет право получать Услуги, а Оператор обязан оказывать Пользователю Услуги.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На период действия Договора, а также до истечения срока исковой давности по обязательствам, вытекающим из договора, Пользователь добровольно выражает свое согласие на обработку Оператором и на передачу (распространение, предоставление, доступ) третьим лицам для обработки следующих персональных данных Пользователя: фамилия, имя, отчество Пользователя, данные о документе, удостоверяющем личность Пользователя, дата рождения Пользователя, адрес места жительства и адрес места установки Пользовательского оборудования, иные сведения, позволяющие прямо или косвенно идентифицировать Пользователя или его Пользовательское оборудование, сведения о соединениях, трафике, начисленных, уплаченных платежах за Услуги, задолженности за полученные Услуги. Под обработкой персональных данных следует понимать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Лицо, имеющее намерение заключить Договор об оказании Услуги подает Оператору заявление. Оператор рассматривает заявление, проверяет наличие технической возможности и не позднее 3 (трех) рабочих дней направляет лицу, имеющему намерение заключить Договор об оказании Услуг связи, уведомление, содержащее информацию о наличии (отсутствии) технической возможности, с указанием порта точки доступа.</w:t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или:</w:t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i/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Лицо, имеющее намерение заключить Договор об оказании Услуги подает Оператору заявление. Оператор рассматривает заявление, проверяет наличие технической возможности и не позднее 3 (трех) рабочих дней уведомляет лицо, имеющее намерение заключить Договор об оказании Услуг связи, о наличии (отсутствии) технической возможности, с указанием порта точки доступа.</w:t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 наличии технической возможности, лицо имеющее намерение заключить Договор об оказании Услуг связи производит оплату Услуг согласно разделу 5 Оферты, а также обеспечивает подключение пользовательского оборудования к точке доступа через порт, указанный в уведомлении Оператора. 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Оператор в течение периода оказания Услуг предоставляет Пользователю возможность пользования Услугами 24 (двадцать четыре) часа в сутки, 7 (семь) дней в неделю, за исключением перерывов для проведения необходимых ремонтных и профилактических работ, если иное не установлено законодательством Российской Федерации. Не являются перерывами в оказании Услуг и не подлежат какой-либо компенсации со стороны Оператора случаи, когда перерывы вызваны неполадками в Пользовательском оборудовании.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Предоставление Услуги прекращается Оператором по окончании периода оказания Услуги. Не позднее 1 (одного) дня после окончания периода оказания Услуги Пользователь обязан освободить порт точки доступа. 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При намерении Пользователя возобновить пользование Услугами и оплате выбранного тарифного плана согласно разделу 5 Оферты не позднее 1 (одного) дня до окончания периода оказания Услуг, освобождение порта точки доступа, а также действия, предусмотренные пунктом 3.3 не осуществляются. В этом случае, Оператором предоставляются Услуги в течение следующего периода оказания Услуг связи.</w:t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Сторон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Оператор обязуется: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Осуществить идентификацию Пользователя и используемого им оконечного оборудования.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Пользователю, прошедшему идентификацию, Услуги в соответствии с действующими законодательными и иными нормативными правовыми актами Российской Федерации, Правилами, лицензией и настоящим Договором.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Информировать Пользователя об изменении тарифов на Услуги, единицы тарификации, условий обслуживания, порядка и сроков оплаты Услуг связи не менее чем за календарных 10 дней до даты введения таких изменений. Данная информация доводится Оператором до сведения Пользователя в местах работы с Пользователем, а также через информационно-справочную службу, Сайт Оператора.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обязательства, предусмотренные действующим законодательством Российской Федерации и Договором.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Оператор имеет право: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Изменять в одностороннем порядке Тарифы (Тарифные планы) на Услуги, единицу тарификации, порядок и сроки оплаты Услуг.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Производить отключение пользовательского оборудования, при невыполнении Пользователем условий и обязательств, предусмотренных пунктами 3.6., 4.3.2., 4.3.4., 4.3.5. Оферты.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Пользователь обязуется: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вносить плату за оказываемые ему Услуги в полном объеме;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для получения Услуг пользовательское оборудование и программное обеспечение, которое соответствует установленным требованиям;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предпринимать меры по защите пользовательского оборудования от воздействия вредоносного программного обеспечения;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препятствовать распространению спама и вредоносного программного обеспечения с его пользовательского оборудования (только для услуг связи по передаче данных для целей передачи голосовой информации).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свои права и обязанности по настоящему Договору какой-либо третьей стороне.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знакомиться с информацией об оказываемых Услугах, о настоящем Договоре, о Тарифах, в т.ч. об изменении условий настоящего Договора, размещаемой в местах работы с Пользователем, а также через информационно-справочную службу, на Сайте Оператора.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Пользователь имеет право: 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услугами справочно-информационного и иного характера, оказываемыми Оператором.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Предъявлять претензии, связанные с оказанием Услуг и осуществлением взаиморасчетов в порядке и по основаниям, предусмотренным Федеральным Законом «О связи», Правилами и статьей 6 Договора.</w:t>
      </w:r>
    </w:p>
    <w:p>
      <w:pPr>
        <w:pStyle w:val="BlockText"/>
        <w:spacing w:lineRule="auto" w:line="276"/>
        <w:ind w:left="567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услуг и порядок расчетов. 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Стоимость Услуг, оказываемых Пользователю, определяется по выбранным Тарифом (Тарифным планам). Учет объема оказываемых Услуг ведется Оператором в соответствии с единицей тарификации, согласно выбранного Тарифа (Тарифного плана).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Оплата Услуг производится в рублях в соответствии с выбранным Тарифом (Тарифным планом) действующим на момент начала периода оказания Услуги. Для телематических услуг связи применяется авансовая система.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Оплата Услуг производится Пользователем одним из следующих способов: перечисление денежных средств на расчетный счет, реквизиты которого указаны в счете, иным способом.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Датой исполнения денежного обязательства по оплате Услуг будет считаться дата внесения наличных денежных средств в кассу Оператора или дата зачисления денежных средств на расчетный счет Оператора, при внесении денежных средств безналичным путем.</w:t>
      </w:r>
    </w:p>
    <w:p>
      <w:pPr>
        <w:pStyle w:val="Normal"/>
        <w:widowControl w:val="false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Порядок рассмотрения претензий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случае возникновения споров и разногласий по Договору они подлежат урегулированию в порядке, предусмотренном настоящим разделом Договора. 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 неисполнении или ненадлежащем исполнении Оператором обязательств по оказанию Услуг Пользователь до обращения в суд предъявляет Оператору письменную претензию. 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Претензия может быть предъявлена Пользователем в течение 6 (шести) месяцев с момента оказания Услуг, отказа в их оказании или даты выставления счета.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Письменный ответ на претензию должен быть дан Оператором Пользователю не позднее, чем через 60 (шестьдесят) дней со дня ее регистрации.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При отклонении претензии полностью или частично, а также в случае неполучения ответа в установленный для ее рассмотрения срок Пользователь вправе предъявить иск в суд в соответствии с действующим законодательством Российской Федерации.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случае неисполнения Пользователем обязательств, предусмотренных Договором, Оператор вправе предъявить иск в суд к Пользователю в соответствии с действующим законодательством.</w:t>
      </w:r>
    </w:p>
    <w:p>
      <w:pPr>
        <w:pStyle w:val="Normal"/>
        <w:widowControl w:val="false"/>
        <w:tabs>
          <w:tab w:val="clear" w:pos="708"/>
          <w:tab w:val="left" w:pos="345" w:leader="none"/>
        </w:tabs>
        <w:spacing w:lineRule="auto" w:line="276"/>
        <w:ind w:left="567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Федерации, Правилами и Договором.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случае возникновения споров и разногласий по Договору, они подлежат урегулированию в судебном порядке в соответствии с действующим законодательством Российской Федерации.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Стороны освобождаются от ответственности за неисполнение или ненадлежащее исполнение своих обязательств по Договору, если докажут, что надлежащее исполнение оказалось невозможным вследствие обстоятельств непреодолимой силы. </w:t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Срок действия Договора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Договор вступает в силу с момента акцепта Пользователем настоящей Публичной оферты. Договор является срочным и действует в течение периода оказания Услуг, определенного тарифным планом, но не более 30 календарных дней. </w:t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Порядок изменения и расторжения Договора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Договор может быть расторгнут в случаях и в порядке, предусмотренных законодательством Российской Федерации. 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случае расторжения Договора Стороны обязуются произвести расчеты по всем обязательствам, предусмотренным Договором, имевшим место на дату прекращения действия Договора. </w:t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Прочие условия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Настоящая Публичная оферта действует до 31 декабря 2026г.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Все отношения Сторон, возникающие при оказании Пользователю Услуг прямо не урегулированные Договором, регулируются Правилами, Федеральным законом «О связи» от 07.07.2003 №126-ФЗ, а также иными нормативно-правовыми актами РФ.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Пользователь ознакомлен с Правилами и обязуется их соблюдать.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Пользование Услугами осуществляется с использованием пользовательского оборудования, являющегося собственностью Пользователя.</w:t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567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Реквизиты Оператора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567" w:hanging="7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0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308"/>
        <w:gridCol w:w="5721"/>
      </w:tblGrid>
      <w:tr>
        <w:trPr>
          <w:trHeight w:val="379" w:hRule="atLeast"/>
        </w:trPr>
        <w:tc>
          <w:tcPr>
            <w:tcW w:w="4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21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«Северные телерадиокоммуникации» (ОАО «СТРК»)</w:t>
            </w:r>
          </w:p>
        </w:tc>
      </w:tr>
      <w:tr>
        <w:trPr>
          <w:trHeight w:val="379" w:hRule="atLeast"/>
        </w:trPr>
        <w:tc>
          <w:tcPr>
            <w:tcW w:w="4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местонахождения:</w:t>
            </w:r>
          </w:p>
        </w:tc>
        <w:tc>
          <w:tcPr>
            <w:tcW w:w="5721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663230, Красноярский край, п. Туруханск, ул. Пионерская, д.34</w:t>
            </w:r>
          </w:p>
        </w:tc>
      </w:tr>
      <w:tr>
        <w:trPr>
          <w:trHeight w:val="379" w:hRule="atLeast"/>
        </w:trPr>
        <w:tc>
          <w:tcPr>
            <w:tcW w:w="4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 КПП</w:t>
            </w:r>
          </w:p>
        </w:tc>
        <w:tc>
          <w:tcPr>
            <w:tcW w:w="5721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2437002299 / 243701001</w:t>
            </w:r>
          </w:p>
        </w:tc>
      </w:tr>
      <w:tr>
        <w:trPr>
          <w:trHeight w:val="379" w:hRule="atLeast"/>
        </w:trPr>
        <w:tc>
          <w:tcPr>
            <w:tcW w:w="4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5721" w:type="dxa"/>
            <w:tcBorders/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40702810431120001043, к/с 30101810800000000627, Красноярское отделение № 8646 ПАО Сбербанк г. Красноярск, БИК 040407627</w:t>
            </w:r>
          </w:p>
        </w:tc>
      </w:tr>
      <w:tr>
        <w:trPr>
          <w:trHeight w:val="379" w:hRule="atLeast"/>
        </w:trPr>
        <w:tc>
          <w:tcPr>
            <w:tcW w:w="4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информационно-справочной службы:</w:t>
            </w:r>
          </w:p>
        </w:tc>
        <w:tc>
          <w:tcPr>
            <w:tcW w:w="5721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8-804-555-4541</w:t>
            </w:r>
          </w:p>
        </w:tc>
      </w:tr>
      <w:tr>
        <w:trPr>
          <w:trHeight w:val="379" w:hRule="atLeast"/>
        </w:trPr>
        <w:tc>
          <w:tcPr>
            <w:tcW w:w="4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в сети интернет:</w:t>
            </w:r>
          </w:p>
        </w:tc>
        <w:tc>
          <w:tcPr>
            <w:tcW w:w="5721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hyperlink r:id="rId3">
              <w:r>
                <w:rPr>
                  <w:color w:val="auto"/>
                  <w:sz w:val="22"/>
                  <w:szCs w:val="22"/>
                </w:rPr>
                <w:t>www.strk24.ru</w:t>
              </w:r>
            </w:hyperlink>
          </w:p>
        </w:tc>
      </w:tr>
      <w:tr>
        <w:trPr>
          <w:trHeight w:val="379" w:hRule="atLeast"/>
        </w:trPr>
        <w:tc>
          <w:tcPr>
            <w:tcW w:w="4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hyperlink r:id="rId4">
              <w:r>
                <w:rPr>
                  <w:sz w:val="22"/>
                  <w:szCs w:val="22"/>
                </w:rPr>
                <w:t>Электронная почта:</w:t>
              </w:r>
            </w:hyperlink>
          </w:p>
        </w:tc>
        <w:tc>
          <w:tcPr>
            <w:tcW w:w="5721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hyperlink r:id="rId5">
              <w:r>
                <w:rPr>
                  <w:sz w:val="22"/>
                  <w:szCs w:val="22"/>
                </w:rPr>
                <w:t>info@strk24.ru</w:t>
              </w:r>
            </w:hyperlink>
          </w:p>
        </w:tc>
      </w:tr>
    </w:tbl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точек доступа</w:t>
      </w:r>
    </w:p>
    <w:p>
      <w:pPr>
        <w:pStyle w:val="Normal"/>
        <w:rPr>
          <w:sz w:val="22"/>
          <w:szCs w:val="22"/>
        </w:rPr>
      </w:pPr>
      <w:r>
        <w:rPr/>
      </w:r>
    </w:p>
    <w:tbl>
      <w:tblPr>
        <w:tblStyle w:val="af8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30"/>
        <w:gridCol w:w="2870"/>
        <w:gridCol w:w="2008"/>
        <w:gridCol w:w="3046"/>
        <w:gridCol w:w="1550"/>
      </w:tblGrid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№ 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п/п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Населенный пункт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Улица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Дом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Технология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60 лет Октября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1,3,5,7, 28,30,32,36,38,42,44,46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Советская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2А,2,1/1,1,1А,1Б,3,3А,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7,9,11,13,19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,21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Шадрина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32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Бограда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12,14,16,15,17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Киевская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2,4,8,10,12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Борцов революции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1,2,3,4,4А,5,6,7,8,9,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10,11,13,15,17,19,20,21,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22,23,24,25,26,27,28,29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,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31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shd w:fill="FFFFFF" w:val="clear"/>
                <w:lang w:val="ru-RU" w:bidi="ar-SA"/>
              </w:rPr>
              <w:t>микрорайон Восточный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1,2,3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shd w:fill="FFFFFF" w:val="clear"/>
                <w:lang w:val="ru-RU" w:bidi="ar-SA"/>
              </w:rPr>
              <w:t>Лесная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31,31А,33,35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9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shd w:fill="FFFFFF" w:val="clear"/>
                <w:lang w:val="ru-RU" w:bidi="ar-SA"/>
              </w:rPr>
              <w:t xml:space="preserve">Строительная 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3,5 и частный сектор по результату проведения изыскания на наличие технической возможности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shd w:fill="FFFFFF" w:val="clear"/>
                <w:lang w:val="ru-RU" w:bidi="ar-SA"/>
              </w:rPr>
              <w:t xml:space="preserve">Молодёжная 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14,16.17.17А,17Б,19,21,22,24 и частный сектор по результату проведения изыскания на наличие технической возможности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11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shd w:fill="FFFFFF" w:val="clear"/>
                <w:lang w:val="ru-RU" w:bidi="ar-SA"/>
              </w:rPr>
              <w:t>Чухновского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2,4 и частный сектор по результату проведения изыскания на наличие технической возможности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12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shd w:fill="FFFFFF" w:val="clear"/>
                <w:lang w:val="ru-RU" w:bidi="ar-SA"/>
              </w:rPr>
              <w:t>Энтузиастов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Частный сектор по результату проведения изыскания на наличие технической возможности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13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shd w:fill="FFFFFF" w:val="clear"/>
                <w:lang w:val="ru-RU" w:bidi="ar-SA"/>
              </w:rPr>
              <w:t>Авиаторов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Частный сектор по результату проведения изыскания на наличие технической возможности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14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shd w:fill="FFFFFF" w:val="clear"/>
                <w:lang w:val="ru-RU" w:bidi="ar-SA"/>
              </w:rPr>
              <w:t>Чкалова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Частный сектор по результату проведения изыскания на наличие технической возможности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15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shd w:fill="FFFFFF" w:val="clear"/>
                <w:lang w:val="ru-RU" w:bidi="ar-SA"/>
              </w:rPr>
              <w:t>Зелёная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4 и частный сектор по результату проведения изыскания на наличие технической возможности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16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shd w:fill="FFFFFF" w:val="clear"/>
                <w:lang w:val="ru-RU" w:bidi="ar-SA"/>
              </w:rPr>
              <w:t>Таёжная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13,15,17 и частный сектор по результату проведения изыскания на наличие технической возможности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17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shd w:fill="FFFFFF" w:val="clear"/>
                <w:lang w:val="ru-RU" w:bidi="ar-SA"/>
              </w:rPr>
              <w:t>Портовая 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Частный сектор по результату проведения изыскания на наличие технической возможности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18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shd w:fill="FFFFFF" w:val="clear"/>
                <w:lang w:val="ru-RU" w:bidi="ar-SA"/>
              </w:rPr>
              <w:t>Рыбозаводская</w:t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Частный сектор по результату проведения изыскания на наличие технической возможности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PON</w:t>
            </w:r>
          </w:p>
        </w:tc>
      </w:tr>
    </w:tbl>
    <w:p>
      <w:pPr>
        <w:pStyle w:val="Normal"/>
        <w:rPr/>
      </w:pPr>
      <w:r>
        <w:rPr/>
      </w:r>
    </w:p>
    <w:sectPr>
      <w:footerReference w:type="even" r:id="rId6"/>
      <w:footerReference w:type="default" r:id="rId7"/>
      <w:footerReference w:type="first" r:id="rId8"/>
      <w:type w:val="nextPage"/>
      <w:pgSz w:w="11906" w:h="16838"/>
      <w:pgMar w:left="851" w:right="851" w:gutter="0" w:header="0" w:top="719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ET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34925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504.05pt;margin-top:0.05pt;width:6pt;height:27.4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349250"/>
              <wp:effectExtent l="0" t="0" r="0" b="0"/>
              <wp:wrapSquare wrapText="bothSides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504.05pt;margin-top:0.05pt;width:6pt;height:27.4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540"/>
        </w:tabs>
        <w:ind w:left="540" w:hanging="540"/>
      </w:pPr>
      <w:rPr/>
    </w:lvl>
    <w:lvl w:ilvl="1">
      <w:start w:val="1"/>
      <w:pStyle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sz w:val="24"/>
        <w:szCs w:val="24"/>
      </w:rPr>
    </w:lvl>
    <w:lvl w:ilvl="2">
      <w:start w:val="1"/>
      <w:pStyle w:val="3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pStyle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765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9" w:hanging="765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46" w:hanging="765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424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c42415"/>
    <w:pPr>
      <w:numPr>
        <w:ilvl w:val="0"/>
        <w:numId w:val="1"/>
      </w:numPr>
      <w:outlineLvl w:val="0"/>
    </w:pPr>
    <w:rPr>
      <w:bCs/>
    </w:rPr>
  </w:style>
  <w:style w:type="paragraph" w:styleId="2">
    <w:name w:val="Heading 2"/>
    <w:basedOn w:val="Normal"/>
    <w:next w:val="Normal"/>
    <w:qFormat/>
    <w:rsid w:val="00c42415"/>
    <w:pPr>
      <w:numPr>
        <w:ilvl w:val="1"/>
        <w:numId w:val="1"/>
      </w:numPr>
      <w:spacing w:before="120" w:after="120"/>
      <w:jc w:val="both"/>
      <w:outlineLvl w:val="1"/>
    </w:pPr>
    <w:rPr>
      <w:iCs/>
    </w:rPr>
  </w:style>
  <w:style w:type="paragraph" w:styleId="3">
    <w:name w:val="Heading 3"/>
    <w:basedOn w:val="Normal"/>
    <w:next w:val="Normal"/>
    <w:qFormat/>
    <w:rsid w:val="00c42415"/>
    <w:pPr>
      <w:numPr>
        <w:ilvl w:val="2"/>
        <w:numId w:val="1"/>
      </w:numPr>
      <w:spacing w:before="120" w:after="120"/>
      <w:jc w:val="both"/>
      <w:outlineLvl w:val="2"/>
    </w:pPr>
    <w:rPr>
      <w:bCs/>
    </w:rPr>
  </w:style>
  <w:style w:type="paragraph" w:styleId="4">
    <w:name w:val="Heading 4"/>
    <w:basedOn w:val="Normal"/>
    <w:next w:val="Normal"/>
    <w:qFormat/>
    <w:rsid w:val="00c42415"/>
    <w:pPr>
      <w:keepNext w:val="true"/>
      <w:numPr>
        <w:ilvl w:val="3"/>
        <w:numId w:val="1"/>
      </w:numPr>
      <w:tabs>
        <w:tab w:val="clear" w:pos="708"/>
        <w:tab w:val="left" w:pos="360" w:leader="none"/>
      </w:tabs>
      <w:spacing w:before="120" w:after="0"/>
      <w:jc w:val="both"/>
      <w:outlineLvl w:val="3"/>
    </w:pPr>
    <w:rPr/>
  </w:style>
  <w:style w:type="paragraph" w:styleId="5">
    <w:name w:val="Heading 5"/>
    <w:basedOn w:val="Normal"/>
    <w:next w:val="Normal"/>
    <w:qFormat/>
    <w:rsid w:val="00c42415"/>
    <w:pPr>
      <w:keepNext w:val="true"/>
      <w:tabs>
        <w:tab w:val="clear" w:pos="708"/>
        <w:tab w:val="left" w:pos="1800" w:leader="none"/>
      </w:tabs>
      <w:jc w:val="both"/>
      <w:outlineLvl w:val="4"/>
    </w:pPr>
    <w:rPr>
      <w:i/>
      <w:sz w:val="20"/>
    </w:rPr>
  </w:style>
  <w:style w:type="paragraph" w:styleId="6">
    <w:name w:val="Heading 6"/>
    <w:basedOn w:val="Normal"/>
    <w:next w:val="Normal"/>
    <w:qFormat/>
    <w:rsid w:val="00c42415"/>
    <w:pPr>
      <w:keepNext w:val="true"/>
      <w:outlineLvl w:val="5"/>
    </w:pPr>
    <w:rPr>
      <w:i/>
      <w:i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sid w:val="0022445e"/>
    <w:rPr>
      <w:color w:val="0000FF"/>
      <w:u w:val="single"/>
    </w:rPr>
  </w:style>
  <w:style w:type="character" w:styleId="Pagenumber">
    <w:name w:val="page number"/>
    <w:basedOn w:val="DefaultParagraphFont"/>
    <w:qFormat/>
    <w:rsid w:val="006815a1"/>
    <w:rPr/>
  </w:style>
  <w:style w:type="character" w:styleId="Style9">
    <w:name w:val="Посещённая гиперссылка"/>
    <w:uiPriority w:val="99"/>
    <w:semiHidden/>
    <w:unhideWhenUsed/>
    <w:rsid w:val="009979ad"/>
    <w:rPr>
      <w:color w:val="800080"/>
      <w:u w:val="single"/>
    </w:rPr>
  </w:style>
  <w:style w:type="character" w:styleId="O1card" w:customStyle="1">
    <w:name w:val="o1_card"/>
    <w:basedOn w:val="DefaultParagraphFont"/>
    <w:qFormat/>
    <w:rsid w:val="005f73c3"/>
    <w:rPr/>
  </w:style>
  <w:style w:type="character" w:styleId="Annotationreference">
    <w:name w:val="annotation reference"/>
    <w:uiPriority w:val="99"/>
    <w:semiHidden/>
    <w:qFormat/>
    <w:rsid w:val="00e61363"/>
    <w:rPr>
      <w:sz w:val="16"/>
      <w:szCs w:val="16"/>
    </w:rPr>
  </w:style>
  <w:style w:type="character" w:styleId="Style10" w:customStyle="1">
    <w:name w:val="Текст сноски Знак"/>
    <w:basedOn w:val="DefaultParagraphFont"/>
    <w:uiPriority w:val="99"/>
    <w:semiHidden/>
    <w:qFormat/>
    <w:rsid w:val="008b2332"/>
    <w:rPr/>
  </w:style>
  <w:style w:type="character" w:styleId="Style11">
    <w:name w:val="Символ сноски"/>
    <w:uiPriority w:val="99"/>
    <w:semiHidden/>
    <w:unhideWhenUsed/>
    <w:qFormat/>
    <w:rsid w:val="008b2332"/>
    <w:rPr>
      <w:vertAlign w:val="superscript"/>
    </w:rPr>
  </w:style>
  <w:style w:type="character" w:styleId="Style12">
    <w:name w:val="Привязка сноски"/>
    <w:rPr>
      <w:vertAlign w:val="superscript"/>
    </w:rPr>
  </w:style>
  <w:style w:type="character" w:styleId="Style13" w:customStyle="1">
    <w:name w:val="Текст примечания Знак"/>
    <w:basedOn w:val="DefaultParagraphFont"/>
    <w:link w:val="Annotationtext"/>
    <w:uiPriority w:val="99"/>
    <w:semiHidden/>
    <w:qFormat/>
    <w:rsid w:val="00a032ca"/>
    <w:rPr/>
  </w:style>
  <w:style w:type="character" w:styleId="Style14" w:customStyle="1">
    <w:name w:val="Верхний колонтитул Знак"/>
    <w:uiPriority w:val="99"/>
    <w:qFormat/>
    <w:rsid w:val="00244823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rsid w:val="00c42415"/>
    <w:pPr>
      <w:jc w:val="both"/>
    </w:pPr>
    <w:rPr>
      <w:sz w:val="2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odyTextIndent2">
    <w:name w:val="Body Text Indent 2"/>
    <w:basedOn w:val="Normal"/>
    <w:qFormat/>
    <w:rsid w:val="00c42415"/>
    <w:pPr>
      <w:ind w:left="720" w:hanging="720"/>
    </w:pPr>
    <w:rPr>
      <w:color w:val="FF0000"/>
    </w:rPr>
  </w:style>
  <w:style w:type="paragraph" w:styleId="Style20">
    <w:name w:val="Body Text Indent"/>
    <w:basedOn w:val="Normal"/>
    <w:rsid w:val="00c42415"/>
    <w:pPr>
      <w:ind w:left="720" w:hanging="720"/>
      <w:jc w:val="both"/>
    </w:pPr>
    <w:rPr>
      <w:color w:val="FF0000"/>
    </w:rPr>
  </w:style>
  <w:style w:type="paragraph" w:styleId="Caption">
    <w:name w:val="caption"/>
    <w:basedOn w:val="Normal"/>
    <w:qFormat/>
    <w:rsid w:val="00c42415"/>
    <w:pPr>
      <w:jc w:val="center"/>
    </w:pPr>
    <w:rPr>
      <w:b/>
      <w:sz w:val="28"/>
    </w:rPr>
  </w:style>
  <w:style w:type="paragraph" w:styleId="BodyText2">
    <w:name w:val="Body Text 2"/>
    <w:basedOn w:val="Normal"/>
    <w:qFormat/>
    <w:rsid w:val="00c42415"/>
    <w:pPr>
      <w:jc w:val="both"/>
    </w:pPr>
    <w:rPr/>
  </w:style>
  <w:style w:type="paragraph" w:styleId="BlockText">
    <w:name w:val="Block Text"/>
    <w:basedOn w:val="Normal"/>
    <w:qFormat/>
    <w:rsid w:val="00c42415"/>
    <w:pPr>
      <w:suppressAutoHyphens w:val="true"/>
      <w:ind w:left="5580" w:right="-68" w:hanging="0"/>
      <w:jc w:val="both"/>
    </w:pPr>
    <w:rPr>
      <w:szCs w:val="20"/>
    </w:rPr>
  </w:style>
  <w:style w:type="paragraph" w:styleId="Iauiue1" w:customStyle="1">
    <w:name w:val="Iau?iue1"/>
    <w:qFormat/>
    <w:rsid w:val="00c42415"/>
    <w:pPr>
      <w:widowControl w:val="false"/>
      <w:suppressAutoHyphens w:val="true"/>
      <w:bidi w:val="0"/>
      <w:spacing w:before="0" w:after="0"/>
      <w:jc w:val="left"/>
    </w:pPr>
    <w:rPr>
      <w:rFonts w:ascii="TimesET" w:hAnsi="TimesET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c42415"/>
    <w:pPr>
      <w:spacing w:beforeAutospacing="1" w:afterAutospacing="1"/>
    </w:pPr>
    <w:rPr/>
  </w:style>
  <w:style w:type="paragraph" w:styleId="BodyTextIndent3">
    <w:name w:val="Body Text Indent 3"/>
    <w:basedOn w:val="Normal"/>
    <w:qFormat/>
    <w:rsid w:val="00c42415"/>
    <w:pPr>
      <w:widowControl w:val="false"/>
      <w:tabs>
        <w:tab w:val="clear" w:pos="708"/>
        <w:tab w:val="left" w:pos="345" w:leader="none"/>
      </w:tabs>
      <w:ind w:left="357" w:hanging="357"/>
      <w:jc w:val="both"/>
    </w:pPr>
    <w:rPr>
      <w:sz w:val="22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Footer"/>
    <w:basedOn w:val="Normal"/>
    <w:rsid w:val="006815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277774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Style13"/>
    <w:uiPriority w:val="99"/>
    <w:semiHidden/>
    <w:qFormat/>
    <w:rsid w:val="00e6136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e61363"/>
    <w:pPr/>
    <w:rPr>
      <w:b/>
      <w:bCs/>
    </w:rPr>
  </w:style>
  <w:style w:type="paragraph" w:styleId="ListParagraph">
    <w:name w:val="List Paragraph"/>
    <w:basedOn w:val="Normal"/>
    <w:uiPriority w:val="34"/>
    <w:qFormat/>
    <w:rsid w:val="00d724c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ListParagraph0" w:customStyle="1">
    <w:name w:val="List Paragraph0"/>
    <w:basedOn w:val="Normal"/>
    <w:qFormat/>
    <w:rsid w:val="00305f39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3">
    <w:name w:val="Footnote Text"/>
    <w:basedOn w:val="Normal"/>
    <w:link w:val="Style10"/>
    <w:uiPriority w:val="99"/>
    <w:semiHidden/>
    <w:unhideWhenUsed/>
    <w:rsid w:val="008b2332"/>
    <w:pPr/>
    <w:rPr>
      <w:sz w:val="20"/>
      <w:szCs w:val="20"/>
    </w:rPr>
  </w:style>
  <w:style w:type="paragraph" w:styleId="Revision">
    <w:name w:val="Revision"/>
    <w:uiPriority w:val="99"/>
    <w:semiHidden/>
    <w:qFormat/>
    <w:rsid w:val="00b245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Default" w:customStyle="1">
    <w:name w:val="Default"/>
    <w:qFormat/>
    <w:rsid w:val="009d29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4">
    <w:name w:val="Header"/>
    <w:basedOn w:val="Normal"/>
    <w:link w:val="Style14"/>
    <w:uiPriority w:val="99"/>
    <w:unhideWhenUsed/>
    <w:rsid w:val="0024482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3b0ee9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rk24.ru/" TargetMode="External"/><Relationship Id="rId3" Type="http://schemas.openxmlformats.org/officeDocument/2006/relationships/hyperlink" Target="http://www.strk24.ru/" TargetMode="External"/><Relationship Id="rId4" Type="http://schemas.openxmlformats.org/officeDocument/2006/relationships/hyperlink" Target="javascript:" TargetMode="External"/><Relationship Id="rId5" Type="http://schemas.openxmlformats.org/officeDocument/2006/relationships/hyperlink" Target="javascript: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7F6F-757F-4845-ABDE-2112819B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Application>LibreOffice/7.3.7.2$Linux_X86_64 LibreOffice_project/30$Build-2</Application>
  <AppVersion>15.0000</AppVersion>
  <Pages>7</Pages>
  <Words>2075</Words>
  <Characters>14913</Characters>
  <CharactersWithSpaces>16773</CharactersWithSpaces>
  <Paragraphs>213</Paragraphs>
  <Company>ООО "Документовед"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2021-11-15T08:35:00Z</dcterms:created>
  <dc:creator>Максимов Леонид Владиславович</dc:creator>
  <dc:description/>
  <dc:language>ru-RU</dc:language>
  <cp:lastModifiedBy/>
  <cp:lastPrinted>2013-04-02T18:23:00Z</cp:lastPrinted>
  <dcterms:modified xsi:type="dcterms:W3CDTF">2024-03-11T15:12:44Z</dcterms:modified>
  <cp:revision>15</cp:revision>
  <dc:subject/>
  <dc:title>СТРК_Оферта_ТЛМ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